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lang w:val="en-US" w:eastAsia="zh-CN"/>
        </w:rPr>
      </w:pPr>
      <w:bookmarkStart w:id="0" w:name="_Toc193024528"/>
      <w:r>
        <w:rPr>
          <w:rFonts w:ascii="Arial" w:hAnsi="Arial" w:cs="Arial"/>
          <w:b/>
          <w:sz w:val="24"/>
          <w:szCs w:val="24"/>
        </w:rPr>
        <w:t>3GPP TSG-RAN WG4 Meeting # 9</w:t>
      </w:r>
      <w:r>
        <w:rPr>
          <w:rFonts w:hint="eastAsia" w:eastAsia="宋体" w:cs="Arial"/>
          <w:b/>
          <w:sz w:val="24"/>
          <w:szCs w:val="24"/>
          <w:lang w:val="en-US" w:eastAsia="zh-CN"/>
        </w:rPr>
        <w:t>7</w:t>
      </w:r>
      <w:r>
        <w:rPr>
          <w:rFonts w:ascii="Arial" w:hAnsi="Arial" w:cs="Arial"/>
          <w:b/>
          <w:sz w:val="24"/>
          <w:szCs w:val="24"/>
        </w:rPr>
        <w:t xml:space="preserve">-e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15041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 xml:space="preserve">Electronic Meeting, </w:t>
      </w:r>
      <w:r>
        <w:rPr>
          <w:rFonts w:hint="eastAsia" w:cs="Arial"/>
          <w:b/>
          <w:sz w:val="24"/>
          <w:szCs w:val="24"/>
          <w:lang w:val="en-US" w:eastAsia="zh-CN"/>
        </w:rPr>
        <w:t>2</w:t>
      </w:r>
      <w:r>
        <w:rPr>
          <w:rFonts w:ascii="Arial" w:hAnsi="Arial" w:cs="Arial"/>
          <w:b/>
          <w:sz w:val="24"/>
          <w:szCs w:val="24"/>
          <w:lang w:eastAsia="zh-CN"/>
        </w:rPr>
        <w:t>-</w:t>
      </w:r>
      <w:r>
        <w:rPr>
          <w:rFonts w:hint="eastAsia" w:cs="Arial"/>
          <w:b/>
          <w:sz w:val="24"/>
          <w:szCs w:val="24"/>
          <w:lang w:val="en-US" w:eastAsia="zh-CN"/>
        </w:rPr>
        <w:t>13</w:t>
      </w:r>
      <w:r>
        <w:rPr>
          <w:rFonts w:ascii="Arial" w:hAnsi="Arial" w:cs="Arial"/>
          <w:b/>
          <w:sz w:val="24"/>
          <w:szCs w:val="24"/>
          <w:lang w:eastAsia="zh-CN"/>
        </w:rPr>
        <w:t xml:space="preserve"> </w:t>
      </w:r>
      <w:r>
        <w:rPr>
          <w:rFonts w:hint="eastAsia" w:cs="Arial"/>
          <w:b/>
          <w:sz w:val="24"/>
          <w:szCs w:val="24"/>
          <w:lang w:val="en-US" w:eastAsia="zh-CN"/>
        </w:rPr>
        <w:t>Nov</w:t>
      </w:r>
      <w:r>
        <w:rPr>
          <w:rFonts w:ascii="Arial" w:hAnsi="Arial" w:cs="Arial"/>
          <w:b/>
          <w:sz w:val="24"/>
          <w:szCs w:val="24"/>
          <w:lang w:eastAsia="zh-CN"/>
        </w:rPr>
        <w:t>., 2020</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Discussion on SAR solution for NR PC2 SUL</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10.1</w:t>
      </w:r>
      <w:r>
        <w:rPr>
          <w:rFonts w:hint="eastAsia" w:cs="Arial"/>
          <w:b w:val="0"/>
          <w:bCs/>
          <w:sz w:val="22"/>
          <w:szCs w:val="22"/>
          <w:lang w:val="en-US" w:eastAsia="zh-CN"/>
        </w:rPr>
        <w:t>8</w:t>
      </w:r>
      <w:r>
        <w:rPr>
          <w:rFonts w:hint="eastAsia" w:ascii="Arial" w:hAnsi="Arial" w:cs="Arial"/>
          <w:b w:val="0"/>
          <w:bCs/>
          <w:sz w:val="22"/>
          <w:szCs w:val="22"/>
          <w:lang w:val="en-US" w:eastAsia="zh-CN"/>
        </w:rPr>
        <w:t>.</w:t>
      </w:r>
      <w:r>
        <w:rPr>
          <w:rFonts w:hint="eastAsia" w:cs="Arial"/>
          <w:b w:val="0"/>
          <w:bCs/>
          <w:sz w:val="22"/>
          <w:szCs w:val="22"/>
          <w:lang w:val="en-US" w:eastAsia="zh-CN"/>
        </w:rPr>
        <w:t>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In last meeting, the SAR solution for</w:t>
      </w:r>
      <w:r>
        <w:rPr>
          <w:rFonts w:hint="eastAsia" w:eastAsia="宋体" w:cs="Times New Roman"/>
          <w:i w:val="0"/>
          <w:iCs w:val="0"/>
          <w:sz w:val="20"/>
          <w:szCs w:val="20"/>
          <w:lang w:val="en-US" w:eastAsia="zh-CN"/>
        </w:rPr>
        <w:t xml:space="preserve"> </w:t>
      </w:r>
      <w:r>
        <w:rPr>
          <w:rFonts w:hint="eastAsia" w:cs="Arial"/>
          <w:b w:val="0"/>
          <w:bCs/>
          <w:sz w:val="20"/>
          <w:szCs w:val="20"/>
          <w:lang w:val="en-US" w:eastAsia="zh-CN"/>
        </w:rPr>
        <w:t>NR PC2 SUL</w:t>
      </w:r>
      <w:r>
        <w:rPr>
          <w:rFonts w:hint="eastAsia" w:eastAsia="宋体" w:cs="Times New Roman"/>
          <w:i w:val="0"/>
          <w:iCs w:val="0"/>
          <w:sz w:val="20"/>
          <w:szCs w:val="22"/>
          <w:lang w:val="en-US" w:eastAsia="zh-CN"/>
        </w:rPr>
        <w:t xml:space="preserve"> [1][2][3], in which different views have been shown. In the end, a WF[4] was agreed to capture some different options to solve the SAR, which is listed below.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jc w:val="left"/>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Duty cycle based solutions</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 xml:space="preserve">Option 1: Report one total UL duty cycle capability </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Option 2: Report the duty cycle capabilities per band</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UE implementation based solution, i.e. P-MPR</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Other options are not precluded and will be continually discussed in next meeting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Also, some issues were identified for further discussed.</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Whether and how to distinguish the power class 2 scenarios (23+23, 23+26, etc….)</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Whether and how to decide the reference carrier configurations for Duty cycle based solution option 2</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Whether and how to handle the uncertain interpretation for duty cycle capability in both power and time domain for Duty cycle based solution (see R4-2010349)</w:t>
      </w:r>
    </w:p>
    <w:p>
      <w:pPr>
        <w:keepNext/>
        <w:keepLines/>
        <w:pageBreakBefore w:val="0"/>
        <w:widowControl w:val="0"/>
        <w:numPr>
          <w:ilvl w:val="0"/>
          <w:numId w:val="14"/>
        </w:numPr>
        <w:kinsoku/>
        <w:wordWrap/>
        <w:overflowPunct/>
        <w:topLinePunct w:val="0"/>
        <w:autoSpaceDE/>
        <w:autoSpaceDN/>
        <w:bidi w:val="0"/>
        <w:adjustRightInd/>
        <w:snapToGrid/>
        <w:spacing w:after="120"/>
        <w:ind w:left="84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 xml:space="preserve">E.g. Is UE duty cycle capability applicable only for UE working in maximum power or maximum duty cycle, or other none maximum cases? If applicable for all the cases, then how to measure and evaluate the actual duty and power? </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Release independency issue needs to be decided in next meeting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It should be noted that the above options apply to both PC2 inter-band UL CA and PC2 SUL combination. </w:t>
      </w:r>
      <w:r>
        <w:rPr>
          <w:rFonts w:hint="eastAsia" w:ascii="Times New Roman" w:hAnsi="Times New Roman" w:eastAsia="宋体" w:cs="Times New Roman"/>
          <w:i w:val="0"/>
          <w:iCs w:val="0"/>
          <w:sz w:val="20"/>
          <w:szCs w:val="22"/>
          <w:lang w:val="en-US" w:eastAsia="zh-CN"/>
        </w:rPr>
        <w:t xml:space="preserve">In this contribution, we give some </w:t>
      </w:r>
      <w:r>
        <w:rPr>
          <w:rFonts w:hint="eastAsia" w:eastAsia="宋体" w:cs="Times New Roman"/>
          <w:i w:val="0"/>
          <w:iCs w:val="0"/>
          <w:sz w:val="20"/>
          <w:szCs w:val="22"/>
          <w:lang w:val="en-US" w:eastAsia="zh-CN"/>
        </w:rPr>
        <w:t xml:space="preserve">further </w:t>
      </w:r>
      <w:r>
        <w:rPr>
          <w:rFonts w:hint="eastAsia" w:ascii="Times New Roman" w:hAnsi="Times New Roman" w:eastAsia="宋体" w:cs="Times New Roman"/>
          <w:i w:val="0"/>
          <w:iCs w:val="0"/>
          <w:sz w:val="20"/>
          <w:szCs w:val="22"/>
          <w:lang w:val="en-US" w:eastAsia="zh-CN"/>
        </w:rPr>
        <w:t xml:space="preserve">discussion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SUL</w:t>
      </w:r>
      <w:r>
        <w:rPr>
          <w:rFonts w:hint="eastAsia" w:ascii="Times New Roman" w:hAnsi="Times New Roman" w:eastAsia="宋体" w:cs="Times New Roman"/>
          <w:i w:val="0"/>
          <w:iCs w:val="0"/>
          <w:sz w:val="20"/>
          <w:szCs w:val="22"/>
          <w:lang w:val="en-US" w:eastAsia="zh-CN"/>
        </w:rPr>
        <w: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 xml:space="preserve">According </w:t>
      </w:r>
      <w:r>
        <w:rPr>
          <w:rFonts w:hint="eastAsia" w:eastAsia="宋体" w:cs="Times New Roman"/>
          <w:i w:val="0"/>
          <w:iCs w:val="0"/>
          <w:sz w:val="20"/>
          <w:szCs w:val="22"/>
          <w:lang w:val="en-US" w:eastAsia="zh-CN"/>
        </w:rPr>
        <w:t>to the discussion in last meeting, duty cycle solution can be used as one</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 xml:space="preserve">of the </w:t>
      </w:r>
      <w:r>
        <w:rPr>
          <w:rFonts w:hint="eastAsia" w:ascii="Times New Roman" w:hAnsi="Times New Roman" w:eastAsia="宋体" w:cs="Times New Roman"/>
          <w:i w:val="0"/>
          <w:iCs w:val="0"/>
          <w:sz w:val="20"/>
          <w:szCs w:val="22"/>
          <w:lang w:val="en-US" w:eastAsia="zh-CN"/>
        </w:rPr>
        <w:t>enhanced SAR solution</w:t>
      </w:r>
      <w:r>
        <w:rPr>
          <w:rFonts w:hint="eastAsia" w:eastAsia="宋体" w:cs="Times New Roman"/>
          <w:i w:val="0"/>
          <w:iCs w:val="0"/>
          <w:sz w:val="20"/>
          <w:szCs w:val="22"/>
          <w:lang w:val="en-US" w:eastAsia="zh-CN"/>
        </w:rPr>
        <w:t>s</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 xml:space="preserve">for PC2 SUL combinations </w:t>
      </w:r>
      <w:r>
        <w:rPr>
          <w:rFonts w:hint="eastAsia" w:ascii="Times New Roman" w:hAnsi="Times New Roman" w:eastAsia="宋体" w:cs="Times New Roman"/>
          <w:i w:val="0"/>
          <w:iCs w:val="0"/>
          <w:sz w:val="20"/>
          <w:szCs w:val="22"/>
          <w:lang w:val="en-US" w:eastAsia="zh-CN"/>
        </w:rPr>
        <w:t xml:space="preserve">on top of the based P-MPR </w:t>
      </w:r>
      <w:r>
        <w:rPr>
          <w:rFonts w:hint="eastAsia" w:eastAsia="宋体" w:cs="Times New Roman"/>
          <w:i w:val="0"/>
          <w:iCs w:val="0"/>
          <w:sz w:val="20"/>
          <w:szCs w:val="22"/>
          <w:lang w:val="en-US" w:eastAsia="zh-CN"/>
        </w:rPr>
        <w:t>solution. The open issues are the same as PC2 inter-band UL CA, i.e. how to report the duty cycle as stated in the WF.</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i w:val="0"/>
          <w:iCs w:val="0"/>
          <w:sz w:val="20"/>
          <w:szCs w:val="22"/>
          <w:lang w:val="en-US" w:eastAsia="zh-CN"/>
        </w:rPr>
        <w:t xml:space="preserve">In our understanding, like PC2 inter-band UL CA, using the similar approach </w:t>
      </w:r>
      <w:r>
        <w:rPr>
          <w:rFonts w:hint="eastAsia" w:ascii="Times New Roman" w:hAnsi="Times New Roman" w:eastAsia="宋体" w:cs="Times New Roman"/>
          <w:i w:val="0"/>
          <w:iCs w:val="0"/>
          <w:sz w:val="20"/>
          <w:szCs w:val="22"/>
          <w:lang w:val="en-US" w:eastAsia="zh-CN"/>
        </w:rPr>
        <w:t>of PC2 inter-band ENDC</w:t>
      </w:r>
      <w:r>
        <w:rPr>
          <w:rFonts w:hint="eastAsia" w:eastAsia="宋体" w:cs="Times New Roman"/>
          <w:i w:val="0"/>
          <w:iCs w:val="0"/>
          <w:sz w:val="20"/>
          <w:szCs w:val="22"/>
          <w:lang w:val="en-US" w:eastAsia="zh-CN"/>
        </w:rPr>
        <w:t xml:space="preserve"> is a feasible way for PC2 SUL duty cycle SAR solution. However, for PC2 ENDC, </w:t>
      </w:r>
      <w:r>
        <w:rPr>
          <w:rFonts w:hint="eastAsia" w:eastAsia="宋体" w:cs="Times New Roman"/>
          <w:sz w:val="20"/>
          <w:szCs w:val="22"/>
          <w:highlight w:val="none"/>
          <w:lang w:val="en-US" w:eastAsia="zh-CN"/>
        </w:rPr>
        <w:t xml:space="preserve">only total duty cycle capability is reported on top of the known E-UTRA duty cycle, i.e. </w:t>
      </w:r>
      <w:r>
        <w:rPr>
          <w:rFonts w:hint="eastAsia" w:eastAsia="宋体" w:cs="Times New Roman"/>
          <w:i w:val="0"/>
          <w:iCs w:val="0"/>
          <w:sz w:val="20"/>
          <w:szCs w:val="22"/>
          <w:lang w:val="en-US" w:eastAsia="zh-CN"/>
        </w:rPr>
        <w:t>total duty cycle</w:t>
      </w:r>
      <w:r>
        <w:rPr>
          <w:rFonts w:hint="eastAsia" w:eastAsia="宋体" w:cs="Times New Roman"/>
          <w:sz w:val="20"/>
          <w:szCs w:val="22"/>
          <w:highlight w:val="none"/>
          <w:lang w:val="en-US" w:eastAsia="zh-CN"/>
        </w:rPr>
        <w:t xml:space="preserve"> capability+ E-UTRA(i.e. MCG) duty cycle. With the known E-UTRA duty cycle, the NR band capability/duty cycle can be derived from </w:t>
      </w:r>
      <w:r>
        <w:rPr>
          <w:rFonts w:hint="eastAsia" w:eastAsia="宋体" w:cs="Times New Roman"/>
          <w:i w:val="0"/>
          <w:iCs w:val="0"/>
          <w:sz w:val="20"/>
          <w:szCs w:val="22"/>
          <w:lang w:val="en-US" w:eastAsia="zh-CN"/>
        </w:rPr>
        <w:t>total duty cycle</w:t>
      </w:r>
      <w:r>
        <w:rPr>
          <w:rFonts w:hint="eastAsia" w:eastAsia="宋体" w:cs="Times New Roman"/>
          <w:sz w:val="20"/>
          <w:szCs w:val="22"/>
          <w:highlight w:val="none"/>
          <w:lang w:val="en-US" w:eastAsia="zh-CN"/>
        </w:rPr>
        <w:t xml:space="preserve"> capability. In the other word, the capability/duty cycle for each band are known.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sz w:val="20"/>
          <w:szCs w:val="22"/>
          <w:highlight w:val="none"/>
          <w:lang w:val="en-US" w:eastAsia="zh-CN"/>
        </w:rPr>
      </w:pPr>
      <w:r>
        <w:rPr>
          <w:rFonts w:hint="eastAsia" w:eastAsia="宋体" w:cs="Times New Roman"/>
          <w:sz w:val="20"/>
          <w:szCs w:val="22"/>
          <w:highlight w:val="none"/>
          <w:lang w:val="en-US" w:eastAsia="zh-CN"/>
        </w:rPr>
        <w:t xml:space="preserve">For SUL combination, in light of [2], PUCCH can be configured on SUL and also NUL, which means </w:t>
      </w:r>
      <w:r>
        <w:rPr>
          <w:rFonts w:hint="eastAsia" w:eastAsia="宋体" w:cs="Times New Roman"/>
          <w:i w:val="0"/>
          <w:iCs w:val="0"/>
          <w:sz w:val="20"/>
          <w:szCs w:val="22"/>
          <w:lang w:val="en-US" w:eastAsia="zh-CN"/>
        </w:rPr>
        <w:t>RAN1 can differentiate PCell and SCell for SUL and NUL carrier. From this aspect, we think the situation is quite similar with PC2 inter-band UL CA. Therefore, it is proposed to report both total duty cycle</w:t>
      </w:r>
      <w:r>
        <w:rPr>
          <w:rFonts w:hint="eastAsia" w:eastAsia="宋体" w:cs="Times New Roman"/>
          <w:sz w:val="20"/>
          <w:szCs w:val="22"/>
          <w:highlight w:val="none"/>
          <w:lang w:val="en-US" w:eastAsia="zh-CN"/>
        </w:rPr>
        <w:t xml:space="preserve"> capability and duty cycle of PCell.</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w:t>
      </w:r>
    </w:p>
    <w:p>
      <w:pPr>
        <w:bidi w:val="0"/>
        <w:rPr>
          <w:rFonts w:hint="default" w:eastAsia="宋体"/>
          <w:i/>
          <w:sz w:val="20"/>
          <w:szCs w:val="20"/>
          <w:vertAlign w:val="subscript"/>
          <w:lang w:val="en-US" w:eastAsia="zh-CN" w:bidi="bn-IN"/>
        </w:rPr>
      </w:pPr>
      <w:r>
        <w:rPr>
          <w:rFonts w:hint="eastAsia"/>
          <w:sz w:val="20"/>
          <w:szCs w:val="20"/>
          <w:lang w:val="en-US" w:eastAsia="zh-CN"/>
        </w:rPr>
        <w:t>In current TS38.101-3,</w:t>
      </w:r>
      <w:r>
        <w:rPr>
          <w:rFonts w:hint="eastAsia" w:eastAsia="宋体" w:cs="Times New Roman"/>
          <w:i w:val="0"/>
          <w:iCs w:val="0"/>
          <w:sz w:val="20"/>
          <w:szCs w:val="22"/>
          <w:lang w:val="en-US" w:eastAsia="zh-CN"/>
        </w:rPr>
        <w:t xml:space="preserve"> the maximum output power table (i.</w:t>
      </w:r>
      <w:r>
        <w:rPr>
          <w:rFonts w:hint="eastAsia" w:eastAsia="宋体" w:cs="Times New Roman"/>
          <w:i w:val="0"/>
          <w:iCs w:val="0"/>
          <w:sz w:val="20"/>
          <w:szCs w:val="20"/>
          <w:lang w:val="en-US" w:eastAsia="zh-CN"/>
        </w:rPr>
        <w:t xml:space="preserve">e. </w:t>
      </w:r>
      <w:r>
        <w:rPr>
          <w:sz w:val="20"/>
          <w:szCs w:val="20"/>
        </w:rPr>
        <w:t>Table 6.2B.1.3-1</w:t>
      </w:r>
      <w:r>
        <w:rPr>
          <w:rFonts w:hint="eastAsia" w:eastAsia="宋体" w:cs="Times New Roman"/>
          <w:i w:val="0"/>
          <w:iCs w:val="0"/>
          <w:sz w:val="20"/>
          <w:szCs w:val="20"/>
          <w:lang w:val="en-US" w:eastAsia="zh-CN"/>
        </w:rPr>
        <w:t>) is defined for both PC2 and PC3 inter-band ENDC band combination,</w:t>
      </w:r>
      <w:r>
        <w:rPr>
          <w:rFonts w:hint="eastAsia" w:eastAsia="宋体" w:cs="Times New Roman"/>
          <w:i w:val="0"/>
          <w:iCs w:val="0"/>
          <w:sz w:val="20"/>
          <w:szCs w:val="22"/>
          <w:lang w:val="en-US" w:eastAsia="zh-CN"/>
        </w:rPr>
        <w:t xml:space="preserve"> </w:t>
      </w:r>
      <w:r>
        <w:rPr>
          <w:rFonts w:hint="eastAsia" w:eastAsia="宋体" w:cs="Times New Roman"/>
          <w:i w:val="0"/>
          <w:iCs w:val="0"/>
          <w:sz w:val="20"/>
          <w:szCs w:val="20"/>
          <w:lang w:val="en-US" w:eastAsia="zh-CN"/>
        </w:rPr>
        <w:t xml:space="preserve">explicitly </w:t>
      </w:r>
      <w:r>
        <w:rPr>
          <w:rFonts w:hint="eastAsia" w:eastAsia="宋体" w:cs="Times New Roman"/>
          <w:i w:val="0"/>
          <w:iCs w:val="0"/>
          <w:sz w:val="20"/>
          <w:szCs w:val="22"/>
          <w:lang w:val="en-US" w:eastAsia="zh-CN"/>
        </w:rPr>
        <w:t>including</w:t>
      </w:r>
      <w:r>
        <w:rPr>
          <w:rFonts w:hint="eastAsia" w:eastAsia="宋体" w:cs="Times New Roman"/>
          <w:i w:val="0"/>
          <w:iCs w:val="0"/>
          <w:sz w:val="20"/>
          <w:szCs w:val="20"/>
          <w:lang w:val="en-US" w:eastAsia="zh-CN"/>
        </w:rPr>
        <w:t xml:space="preserve"> the </w:t>
      </w:r>
      <w:r>
        <w:rPr>
          <w:sz w:val="20"/>
          <w:szCs w:val="20"/>
        </w:rPr>
        <w:t>maximum UE power</w:t>
      </w:r>
      <w:r>
        <w:rPr>
          <w:rFonts w:hint="eastAsia" w:eastAsia="宋体"/>
          <w:sz w:val="20"/>
          <w:szCs w:val="20"/>
          <w:lang w:val="en-US" w:eastAsia="zh-CN"/>
        </w:rPr>
        <w:t xml:space="preserve"> of each power class</w:t>
      </w:r>
      <w:r>
        <w:rPr>
          <w:rFonts w:hint="eastAsia" w:eastAsia="宋体" w:cs="Times New Roman"/>
          <w:i w:val="0"/>
          <w:iCs w:val="0"/>
          <w:sz w:val="20"/>
          <w:szCs w:val="20"/>
          <w:vertAlign w:val="subscript"/>
          <w:lang w:val="en-US" w:eastAsia="zh-CN"/>
        </w:rPr>
        <w:t xml:space="preserve"> </w:t>
      </w:r>
      <w:r>
        <w:rPr>
          <w:rFonts w:hint="eastAsia" w:eastAsia="宋体" w:cs="Times New Roman"/>
          <w:i w:val="0"/>
          <w:iCs w:val="0"/>
          <w:sz w:val="20"/>
          <w:szCs w:val="20"/>
          <w:lang w:val="en-US" w:eastAsia="zh-CN"/>
        </w:rPr>
        <w:t>and the corresponding tolerance</w:t>
      </w:r>
      <w:r>
        <w:rPr>
          <w:rFonts w:hint="eastAsia" w:eastAsia="宋体" w:cs="Times New Roman"/>
          <w:i w:val="0"/>
          <w:iCs w:val="0"/>
          <w:sz w:val="20"/>
          <w:szCs w:val="22"/>
          <w:lang w:val="en-US" w:eastAsia="zh-CN"/>
        </w:rPr>
        <w:t>. Also the power configurations for E-UTRA or NR carrier are reflected by the NOTE. Moreover, for the configured output power requirements for</w:t>
      </w:r>
      <w:r>
        <w:rPr>
          <w:rFonts w:hint="eastAsia" w:eastAsia="宋体" w:cs="Times New Roman"/>
          <w:i w:val="0"/>
          <w:iCs w:val="0"/>
          <w:sz w:val="20"/>
          <w:szCs w:val="20"/>
          <w:lang w:val="en-US" w:eastAsia="zh-CN"/>
        </w:rPr>
        <w:t xml:space="preserve"> inter-band ENDC, the parameters of </w:t>
      </w:r>
      <w:r>
        <w:rPr>
          <w:rFonts w:eastAsia="Times New Roman"/>
          <w:sz w:val="20"/>
          <w:szCs w:val="20"/>
          <w:lang w:eastAsia="zh-CN" w:bidi="bn-IN"/>
        </w:rPr>
        <w:t>P</w:t>
      </w:r>
      <w:r>
        <w:rPr>
          <w:rFonts w:eastAsia="Times New Roman"/>
          <w:sz w:val="20"/>
          <w:szCs w:val="20"/>
          <w:vertAlign w:val="subscript"/>
          <w:lang w:eastAsia="zh-CN" w:bidi="bn-IN"/>
        </w:rPr>
        <w:t>PowerClass, EN-DC</w:t>
      </w:r>
      <w:r>
        <w:rPr>
          <w:rFonts w:hint="eastAsia" w:eastAsia="Times New Roman"/>
          <w:sz w:val="20"/>
          <w:szCs w:val="20"/>
          <w:vertAlign w:val="subscript"/>
          <w:lang w:val="en-US" w:eastAsia="zh-CN" w:bidi="bn-IN"/>
        </w:rPr>
        <w:t xml:space="preserve"> </w:t>
      </w:r>
      <w:r>
        <w:rPr>
          <w:rFonts w:hint="eastAsia" w:eastAsia="Times New Roman"/>
          <w:sz w:val="20"/>
          <w:szCs w:val="20"/>
          <w:vertAlign w:val="baseline"/>
          <w:lang w:val="en-US" w:eastAsia="zh-CN" w:bidi="bn-IN"/>
        </w:rPr>
        <w:t>and</w:t>
      </w:r>
      <w:r>
        <w:rPr>
          <w:rFonts w:hint="eastAsia" w:eastAsia="Times New Roman"/>
          <w:sz w:val="20"/>
          <w:szCs w:val="20"/>
          <w:vertAlign w:val="subscript"/>
          <w:lang w:val="en-US" w:eastAsia="zh-CN" w:bidi="bn-IN"/>
        </w:rPr>
        <w:t xml:space="preserve"> </w:t>
      </w:r>
      <w:r>
        <w:rPr>
          <w:rFonts w:eastAsia="Times New Roman"/>
          <w:sz w:val="20"/>
          <w:szCs w:val="20"/>
          <w:lang w:eastAsia="zh-CN" w:bidi="bn-IN"/>
        </w:rPr>
        <w:t>ΔP</w:t>
      </w:r>
      <w:r>
        <w:rPr>
          <w:rFonts w:eastAsia="Times New Roman"/>
          <w:sz w:val="20"/>
          <w:szCs w:val="20"/>
          <w:vertAlign w:val="subscript"/>
          <w:lang w:eastAsia="zh-CN" w:bidi="bn-IN"/>
        </w:rPr>
        <w:t>PowerClass,EN-DC</w:t>
      </w:r>
      <w:r>
        <w:rPr>
          <w:rFonts w:hint="eastAsia" w:eastAsia="Times New Roman"/>
          <w:sz w:val="20"/>
          <w:szCs w:val="20"/>
          <w:vertAlign w:val="subscript"/>
          <w:lang w:val="en-US" w:eastAsia="zh-CN" w:bidi="bn-IN"/>
        </w:rPr>
        <w:t xml:space="preserve"> </w:t>
      </w:r>
      <w:r>
        <w:rPr>
          <w:rFonts w:hint="eastAsia" w:eastAsia="Times New Roman"/>
          <w:sz w:val="20"/>
          <w:szCs w:val="20"/>
          <w:vertAlign w:val="baseline"/>
          <w:lang w:val="en-US" w:eastAsia="zh-CN" w:bidi="bn-IN"/>
        </w:rPr>
        <w:t xml:space="preserve">are used for the corresponding per cell </w:t>
      </w:r>
      <w:r>
        <w:rPr>
          <w:rFonts w:eastAsia="Times New Roman"/>
          <w:sz w:val="20"/>
          <w:szCs w:val="20"/>
          <w:lang w:eastAsia="zh-CN" w:bidi="bn-IN"/>
        </w:rPr>
        <w:t>P</w:t>
      </w:r>
      <w:r>
        <w:rPr>
          <w:rFonts w:eastAsia="Times New Roman"/>
          <w:sz w:val="20"/>
          <w:szCs w:val="20"/>
          <w:vertAlign w:val="subscript"/>
          <w:lang w:eastAsia="zh-CN" w:bidi="bn-IN"/>
        </w:rPr>
        <w:t>CMAX_L</w:t>
      </w:r>
      <w:r>
        <w:rPr>
          <w:rFonts w:hint="eastAsia" w:eastAsia="Times New Roman"/>
          <w:sz w:val="20"/>
          <w:szCs w:val="20"/>
          <w:vertAlign w:val="baseline"/>
          <w:lang w:val="en-US" w:eastAsia="zh-CN" w:bidi="bn-IN"/>
        </w:rPr>
        <w:t xml:space="preserve"> calculation, for example </w:t>
      </w:r>
      <w:r>
        <w:rPr>
          <w:rFonts w:eastAsia="Times New Roman"/>
          <w:sz w:val="20"/>
          <w:szCs w:val="20"/>
          <w:lang w:eastAsia="zh-CN" w:bidi="bn-IN"/>
        </w:rPr>
        <w:t>P</w:t>
      </w:r>
      <w:r>
        <w:rPr>
          <w:rFonts w:eastAsia="Times New Roman"/>
          <w:sz w:val="20"/>
          <w:szCs w:val="20"/>
          <w:vertAlign w:val="subscript"/>
          <w:lang w:eastAsia="zh-CN" w:bidi="bn-IN"/>
        </w:rPr>
        <w:t>CMAX_L,f,</w:t>
      </w:r>
      <w:r>
        <w:rPr>
          <w:rFonts w:eastAsia="Times New Roman"/>
          <w:i/>
          <w:sz w:val="20"/>
          <w:szCs w:val="20"/>
          <w:vertAlign w:val="subscript"/>
          <w:lang w:eastAsia="zh-CN" w:bidi="bn-IN"/>
        </w:rPr>
        <w:t>c,NR</w:t>
      </w:r>
      <w:r>
        <w:rPr>
          <w:rFonts w:hint="eastAsia" w:eastAsia="Times New Roman"/>
          <w:i/>
          <w:sz w:val="20"/>
          <w:szCs w:val="20"/>
          <w:vertAlign w:val="subscript"/>
          <w:lang w:val="en-US" w:eastAsia="zh-CN" w:bidi="bn-IN"/>
        </w:rPr>
        <w:t xml:space="preserve">. </w:t>
      </w:r>
      <w:r>
        <w:rPr>
          <w:rFonts w:hint="eastAsia" w:eastAsia="宋体" w:cs="Times New Roman"/>
          <w:i w:val="0"/>
          <w:iCs w:val="0"/>
          <w:sz w:val="20"/>
          <w:szCs w:val="22"/>
          <w:lang w:val="en-US" w:eastAsia="zh-CN"/>
        </w:rPr>
        <w:t xml:space="preserve">where </w:t>
      </w:r>
      <w:r>
        <w:rPr>
          <w:rFonts w:eastAsia="Times New Roman"/>
          <w:sz w:val="20"/>
          <w:szCs w:val="20"/>
          <w:lang w:eastAsia="zh-CN" w:bidi="bn-IN"/>
        </w:rPr>
        <w:t>P</w:t>
      </w:r>
      <w:r>
        <w:rPr>
          <w:rFonts w:eastAsia="Times New Roman"/>
          <w:sz w:val="20"/>
          <w:szCs w:val="20"/>
          <w:vertAlign w:val="subscript"/>
          <w:lang w:eastAsia="zh-CN" w:bidi="bn-IN"/>
        </w:rPr>
        <w:t>PowerClass, EN-DC</w:t>
      </w:r>
      <w:r>
        <w:rPr>
          <w:sz w:val="20"/>
          <w:szCs w:val="20"/>
          <w:lang w:bidi="bn-IN"/>
        </w:rPr>
        <w:t xml:space="preserve"> is defined in clause 6.2B.1.3-1 for inter-band EN-DC</w:t>
      </w:r>
      <w:r>
        <w:rPr>
          <w:rFonts w:hint="eastAsia" w:eastAsia="宋体"/>
          <w:sz w:val="20"/>
          <w:szCs w:val="20"/>
          <w:lang w:val="en-US" w:eastAsia="zh-CN" w:bidi="bn-IN"/>
        </w:rPr>
        <w:t xml:space="preserve"> and </w:t>
      </w:r>
      <w:r>
        <w:rPr>
          <w:rFonts w:eastAsia="Times New Roman"/>
          <w:sz w:val="20"/>
          <w:szCs w:val="20"/>
          <w:lang w:eastAsia="zh-CN" w:bidi="bn-IN"/>
        </w:rPr>
        <w:t>ΔP</w:t>
      </w:r>
      <w:r>
        <w:rPr>
          <w:rFonts w:eastAsia="Times New Roman"/>
          <w:sz w:val="20"/>
          <w:szCs w:val="20"/>
          <w:vertAlign w:val="subscript"/>
          <w:lang w:eastAsia="zh-CN" w:bidi="bn-IN"/>
        </w:rPr>
        <w:t>PowerClass,EN-DC</w:t>
      </w:r>
      <w:r>
        <w:rPr>
          <w:rFonts w:hint="eastAsia" w:eastAsia="Times New Roman"/>
          <w:sz w:val="20"/>
          <w:szCs w:val="20"/>
          <w:vertAlign w:val="subscript"/>
          <w:lang w:val="en-US" w:eastAsia="zh-CN" w:bidi="bn-IN"/>
        </w:rPr>
        <w:t xml:space="preserve"> </w:t>
      </w:r>
      <w:r>
        <w:rPr>
          <w:rFonts w:hint="eastAsia" w:eastAsia="Times New Roman"/>
          <w:sz w:val="20"/>
          <w:szCs w:val="20"/>
          <w:vertAlign w:val="baseline"/>
          <w:lang w:val="en-US" w:eastAsia="zh-CN" w:bidi="bn-IN"/>
        </w:rPr>
        <w:t>=3dB for a power class 2 capable EN-DC UE</w:t>
      </w:r>
      <w:r>
        <w:rPr>
          <w:rFonts w:hint="eastAsia" w:eastAsia="宋体"/>
          <w:sz w:val="20"/>
          <w:szCs w:val="20"/>
          <w:lang w:val="en-US" w:eastAsia="zh-CN" w:bidi="bn-IN"/>
        </w:rPr>
        <w:t xml:space="preserve">. </w:t>
      </w:r>
    </w:p>
    <w:p>
      <w:pPr>
        <w:bidi w:val="0"/>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Similar in </w:t>
      </w:r>
      <w:r>
        <w:rPr>
          <w:rFonts w:hint="eastAsia"/>
          <w:sz w:val="20"/>
          <w:szCs w:val="20"/>
          <w:lang w:val="en-US" w:eastAsia="zh-CN"/>
        </w:rPr>
        <w:t xml:space="preserve">current </w:t>
      </w:r>
      <w:r>
        <w:rPr>
          <w:rFonts w:hint="eastAsia" w:eastAsia="宋体" w:cs="Times New Roman"/>
          <w:i w:val="0"/>
          <w:iCs w:val="0"/>
          <w:sz w:val="20"/>
          <w:szCs w:val="22"/>
          <w:lang w:val="en-US" w:eastAsia="zh-CN"/>
        </w:rPr>
        <w:t xml:space="preserve">TS38.101-1, the maximum output power table (i.e. Table 6.2A.1.3-1) is defined for inter-band UL CA band combination. Currently only PC3 inter-band UL CA band combinations are included due to PC2 inter-band UL CA configurations are under discussion. It can be foreseen that the maximum output power for PC2 inter-band UL CA configurations will also be included in Table 6.2A.1.3-1. Meanwhile, the power configurations will be reflected by the NOTE, which is the same approach with inter-band ENDC. Moreover, </w:t>
      </w:r>
      <w:r>
        <w:rPr>
          <w:rFonts w:hint="eastAsia" w:eastAsia="Times New Roman"/>
          <w:sz w:val="20"/>
          <w:szCs w:val="20"/>
          <w:vertAlign w:val="baseline"/>
          <w:lang w:val="en-US" w:eastAsia="zh-CN" w:bidi="bn-IN"/>
        </w:rPr>
        <w:t xml:space="preserve">for </w:t>
      </w:r>
      <w:r>
        <w:rPr>
          <w:rFonts w:hint="eastAsia" w:eastAsia="宋体" w:cs="Times New Roman"/>
          <w:i w:val="0"/>
          <w:iCs w:val="0"/>
          <w:sz w:val="20"/>
          <w:szCs w:val="22"/>
          <w:lang w:val="en-US" w:eastAsia="zh-CN"/>
        </w:rPr>
        <w:t xml:space="preserve">the configured output power requirements, </w:t>
      </w:r>
      <w:r>
        <w:rPr>
          <w:rFonts w:hint="eastAsia" w:eastAsia="宋体" w:cs="Times New Roman"/>
          <w:i w:val="0"/>
          <w:iCs w:val="0"/>
          <w:sz w:val="20"/>
          <w:szCs w:val="20"/>
          <w:lang w:val="en-US" w:eastAsia="zh-CN"/>
        </w:rPr>
        <w:t xml:space="preserve">the parameter of </w:t>
      </w:r>
      <w:r>
        <w:rPr>
          <w:rFonts w:eastAsia="Times New Roman"/>
          <w:sz w:val="20"/>
          <w:szCs w:val="20"/>
          <w:lang w:eastAsia="zh-CN" w:bidi="bn-IN"/>
        </w:rPr>
        <w:t>P</w:t>
      </w:r>
      <w:r>
        <w:rPr>
          <w:rFonts w:eastAsia="Times New Roman"/>
          <w:sz w:val="20"/>
          <w:szCs w:val="20"/>
          <w:vertAlign w:val="subscript"/>
          <w:lang w:eastAsia="zh-CN" w:bidi="bn-IN"/>
        </w:rPr>
        <w:t>PowerClass</w:t>
      </w:r>
      <w:r>
        <w:rPr>
          <w:rFonts w:hint="eastAsia" w:eastAsia="Times New Roman"/>
          <w:sz w:val="20"/>
          <w:szCs w:val="20"/>
          <w:vertAlign w:val="subscript"/>
          <w:lang w:val="en-US" w:eastAsia="zh-CN" w:bidi="bn-IN"/>
        </w:rPr>
        <w:t xml:space="preserve"> </w:t>
      </w:r>
      <w:r>
        <w:rPr>
          <w:rFonts w:hint="eastAsia" w:eastAsia="Times New Roman"/>
          <w:sz w:val="20"/>
          <w:szCs w:val="20"/>
          <w:vertAlign w:val="baseline"/>
          <w:lang w:val="en-US" w:eastAsia="zh-CN" w:bidi="bn-IN"/>
        </w:rPr>
        <w:t>and</w:t>
      </w:r>
      <w:r>
        <w:rPr>
          <w:rFonts w:hint="eastAsia" w:eastAsia="Times New Roman"/>
          <w:sz w:val="20"/>
          <w:szCs w:val="20"/>
          <w:vertAlign w:val="subscript"/>
          <w:lang w:val="en-US" w:eastAsia="zh-CN" w:bidi="bn-IN"/>
        </w:rPr>
        <w:t xml:space="preserve"> </w:t>
      </w:r>
      <w:r>
        <w:rPr>
          <w:rFonts w:eastAsia="Times New Roman"/>
          <w:sz w:val="20"/>
          <w:szCs w:val="20"/>
          <w:lang w:eastAsia="zh-CN" w:bidi="bn-IN"/>
        </w:rPr>
        <w:t>ΔP</w:t>
      </w:r>
      <w:r>
        <w:rPr>
          <w:rFonts w:eastAsia="Times New Roman"/>
          <w:sz w:val="20"/>
          <w:szCs w:val="20"/>
          <w:vertAlign w:val="subscript"/>
          <w:lang w:eastAsia="zh-CN" w:bidi="bn-IN"/>
        </w:rPr>
        <w:t>PowerClass</w:t>
      </w:r>
      <w:r>
        <w:rPr>
          <w:rFonts w:hint="eastAsia" w:eastAsia="Times New Roman"/>
          <w:sz w:val="20"/>
          <w:szCs w:val="20"/>
          <w:vertAlign w:val="subscript"/>
          <w:lang w:val="en-US" w:eastAsia="zh-CN" w:bidi="bn-IN"/>
        </w:rPr>
        <w:t xml:space="preserve"> </w:t>
      </w:r>
      <w:r>
        <w:rPr>
          <w:rFonts w:hint="eastAsia" w:eastAsia="Times New Roman"/>
          <w:sz w:val="20"/>
          <w:szCs w:val="20"/>
          <w:vertAlign w:val="baseline"/>
          <w:lang w:val="en-US" w:eastAsia="zh-CN" w:bidi="bn-IN"/>
        </w:rPr>
        <w:t xml:space="preserve">are used for the corresponding per cell </w:t>
      </w:r>
      <w:r>
        <w:rPr>
          <w:rFonts w:eastAsia="Times New Roman"/>
          <w:sz w:val="20"/>
          <w:szCs w:val="20"/>
          <w:lang w:eastAsia="zh-CN" w:bidi="bn-IN"/>
        </w:rPr>
        <w:t>P</w:t>
      </w:r>
      <w:r>
        <w:rPr>
          <w:rFonts w:eastAsia="Times New Roman"/>
          <w:sz w:val="20"/>
          <w:szCs w:val="20"/>
          <w:vertAlign w:val="subscript"/>
          <w:lang w:eastAsia="zh-CN" w:bidi="bn-IN"/>
        </w:rPr>
        <w:t>CMAX_L</w:t>
      </w:r>
      <w:r>
        <w:rPr>
          <w:rFonts w:hint="eastAsia" w:eastAsia="Times New Roman"/>
          <w:sz w:val="20"/>
          <w:szCs w:val="20"/>
          <w:vertAlign w:val="baseline"/>
          <w:lang w:val="en-US" w:eastAsia="zh-CN" w:bidi="bn-IN"/>
        </w:rPr>
        <w:t xml:space="preserve"> calculation </w:t>
      </w:r>
      <w:r>
        <w:rPr>
          <w:rFonts w:hint="eastAsia" w:eastAsia="Times New Roman"/>
          <w:i/>
          <w:sz w:val="20"/>
          <w:szCs w:val="20"/>
          <w:vertAlign w:val="subscript"/>
          <w:lang w:val="en-US" w:eastAsia="zh-CN" w:bidi="bn-IN"/>
        </w:rPr>
        <w:t xml:space="preserve"> </w:t>
      </w:r>
      <w:r>
        <w:rPr>
          <w:rFonts w:hint="eastAsia" w:eastAsia="宋体" w:cs="Times New Roman"/>
          <w:i w:val="0"/>
          <w:iCs w:val="0"/>
          <w:sz w:val="20"/>
          <w:szCs w:val="22"/>
          <w:lang w:val="en-US" w:eastAsia="zh-CN"/>
        </w:rPr>
        <w:t xml:space="preserve">where </w:t>
      </w:r>
      <w:r>
        <w:rPr>
          <w:rFonts w:eastAsia="Times New Roman"/>
          <w:sz w:val="20"/>
          <w:szCs w:val="20"/>
          <w:lang w:eastAsia="zh-CN" w:bidi="bn-IN"/>
        </w:rPr>
        <w:t>P</w:t>
      </w:r>
      <w:r>
        <w:rPr>
          <w:rFonts w:eastAsia="Times New Roman"/>
          <w:sz w:val="20"/>
          <w:szCs w:val="20"/>
          <w:vertAlign w:val="subscript"/>
          <w:lang w:eastAsia="zh-CN" w:bidi="bn-IN"/>
        </w:rPr>
        <w:t>PowerClass</w:t>
      </w:r>
      <w:r>
        <w:rPr>
          <w:sz w:val="20"/>
          <w:szCs w:val="20"/>
          <w:lang w:bidi="bn-IN"/>
        </w:rPr>
        <w:t xml:space="preserve"> is defined in </w:t>
      </w:r>
      <w:r>
        <w:rPr>
          <w:rFonts w:hint="eastAsia" w:eastAsia="宋体"/>
          <w:sz w:val="20"/>
          <w:szCs w:val="20"/>
          <w:lang w:val="en-US" w:eastAsia="zh-CN" w:bidi="bn-IN"/>
        </w:rPr>
        <w:t xml:space="preserve">table </w:t>
      </w:r>
      <w:r>
        <w:rPr>
          <w:rFonts w:hint="eastAsia" w:eastAsia="宋体" w:cs="Times New Roman"/>
          <w:i w:val="0"/>
          <w:iCs w:val="0"/>
          <w:sz w:val="20"/>
          <w:szCs w:val="22"/>
          <w:lang w:val="en-US" w:eastAsia="zh-CN"/>
        </w:rPr>
        <w:t>6.2A.1.3-1</w:t>
      </w:r>
      <w:r>
        <w:rPr>
          <w:sz w:val="20"/>
          <w:szCs w:val="20"/>
          <w:lang w:bidi="bn-IN"/>
        </w:rPr>
        <w:t xml:space="preserve"> for inter-band </w:t>
      </w:r>
      <w:r>
        <w:rPr>
          <w:rFonts w:hint="eastAsia" w:eastAsia="宋体"/>
          <w:sz w:val="20"/>
          <w:szCs w:val="20"/>
          <w:lang w:val="en-US" w:eastAsia="zh-CN" w:bidi="bn-IN"/>
        </w:rPr>
        <w:t xml:space="preserve">UL CA. </w:t>
      </w:r>
    </w:p>
    <w:p>
      <w:pPr>
        <w:bidi w:val="0"/>
        <w:rPr>
          <w:rFonts w:hint="default" w:eastAsia="Times New Roman"/>
          <w:sz w:val="20"/>
          <w:szCs w:val="20"/>
          <w:vertAlign w:val="baseline"/>
          <w:lang w:val="en-US" w:eastAsia="zh-CN" w:bidi="bn-IN"/>
        </w:rPr>
      </w:pPr>
      <w:r>
        <w:rPr>
          <w:rFonts w:hint="eastAsia" w:eastAsia="Times New Roman"/>
          <w:sz w:val="20"/>
          <w:szCs w:val="20"/>
          <w:vertAlign w:val="baseline"/>
          <w:lang w:val="en-US" w:eastAsia="zh-CN" w:bidi="bn-IN"/>
        </w:rPr>
        <w:t xml:space="preserve">In addition, when we see the duty cycle solution in the specs, the related texts are all captured under the </w:t>
      </w:r>
      <w:r>
        <w:rPr>
          <w:rFonts w:hint="eastAsia" w:eastAsia="宋体" w:cs="Times New Roman"/>
          <w:i w:val="0"/>
          <w:iCs w:val="0"/>
          <w:sz w:val="20"/>
          <w:szCs w:val="22"/>
          <w:lang w:val="en-US" w:eastAsia="zh-CN"/>
        </w:rPr>
        <w:t>maximum output power table. It is more clear to do so since we can know which band combinations are PC2 band combinations from the above maximum output power table.</w:t>
      </w:r>
    </w:p>
    <w:p>
      <w:pPr>
        <w:bidi w:val="0"/>
        <w:rPr>
          <w:rFonts w:hint="default" w:eastAsia="Times New Roman"/>
          <w:sz w:val="20"/>
          <w:szCs w:val="20"/>
          <w:vertAlign w:val="baseline"/>
          <w:lang w:val="en-US" w:eastAsia="zh-CN" w:bidi="bn-IN"/>
        </w:rPr>
      </w:pPr>
      <w:r>
        <w:rPr>
          <w:rFonts w:hint="eastAsia" w:eastAsia="Times New Roman"/>
          <w:sz w:val="20"/>
          <w:szCs w:val="20"/>
          <w:vertAlign w:val="baseline"/>
          <w:lang w:val="en-US" w:eastAsia="zh-CN" w:bidi="bn-IN"/>
        </w:rPr>
        <w:t xml:space="preserve">However, there is no </w:t>
      </w:r>
      <w:r>
        <w:rPr>
          <w:rFonts w:hint="eastAsia" w:eastAsia="宋体" w:cs="Times New Roman"/>
          <w:i w:val="0"/>
          <w:iCs w:val="0"/>
          <w:sz w:val="20"/>
          <w:szCs w:val="22"/>
          <w:lang w:val="en-US" w:eastAsia="zh-CN"/>
        </w:rPr>
        <w:t>maximum output power table defined for PC3 SUL band combination in the spec so far. Now when discussing the PC2 SUL band combination, only 23dBm(SUL)+26dBm(NUL) power allocation is supported, and duty cycle SAR solution is also discussed. When the conditions of the duty cycle are not met, then the PC2 SUL band combination should fall back to the corresponding PC3 SUL band combination. Therefore we believe it is important to introduce maximum output power table for SUL band combination in the spec.</w:t>
      </w:r>
      <w:bookmarkStart w:id="1" w:name="_GoBack"/>
      <w:bookmarkEnd w:id="1"/>
    </w:p>
    <w:p>
      <w:pPr>
        <w:bidi w:val="0"/>
        <w:rPr>
          <w:rFonts w:hint="eastAsia" w:ascii="Times New Roman" w:hAnsi="Times New Roman" w:eastAsia="宋体" w:cs="Times New Roman"/>
          <w:bCs/>
          <w:sz w:val="20"/>
          <w:lang w:eastAsia="zh-CN"/>
        </w:rPr>
      </w:pPr>
      <w:r>
        <w:rPr>
          <w:rFonts w:hint="eastAsia" w:eastAsia="宋体" w:cs="Times New Roman"/>
          <w:b/>
          <w:bCs/>
          <w:sz w:val="20"/>
          <w:szCs w:val="22"/>
          <w:highlight w:val="none"/>
          <w:lang w:val="en-US" w:eastAsia="zh-CN"/>
        </w:rPr>
        <w:t xml:space="preserve">Proposal 2. Introduce </w:t>
      </w:r>
      <w:r>
        <w:rPr>
          <w:rFonts w:hint="eastAsia" w:eastAsia="宋体" w:cs="Times New Roman"/>
          <w:b/>
          <w:bCs/>
          <w:i w:val="0"/>
          <w:iCs w:val="0"/>
          <w:sz w:val="20"/>
          <w:szCs w:val="22"/>
          <w:highlight w:val="none"/>
          <w:lang w:val="en-US" w:eastAsia="zh-CN"/>
        </w:rPr>
        <w:t>maximum output power table for both PC3 and PC2 SUL in TS38.101-1.</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we give some </w:t>
      </w:r>
      <w:r>
        <w:rPr>
          <w:rFonts w:hint="eastAsia" w:eastAsia="宋体" w:cs="Times New Roman"/>
          <w:sz w:val="20"/>
          <w:szCs w:val="22"/>
          <w:lang w:val="en-US" w:eastAsia="zh-CN"/>
        </w:rPr>
        <w:t xml:space="preserve">further </w:t>
      </w:r>
      <w:r>
        <w:rPr>
          <w:rFonts w:hint="eastAsia" w:ascii="Times New Roman" w:hAnsi="Times New Roman" w:eastAsia="宋体" w:cs="Times New Roman"/>
          <w:sz w:val="20"/>
          <w:szCs w:val="22"/>
          <w:lang w:val="en-US" w:eastAsia="zh-CN"/>
        </w:rPr>
        <w:t>discussion</w:t>
      </w:r>
      <w:r>
        <w:rPr>
          <w:rFonts w:hint="eastAsia" w:ascii="Times New Roman" w:hAnsi="Times New Roman" w:eastAsia="宋体" w:cs="Times New Roman"/>
          <w:i w:val="0"/>
          <w:iCs w:val="0"/>
          <w:sz w:val="20"/>
          <w:szCs w:val="22"/>
          <w:lang w:val="en-US" w:eastAsia="zh-CN"/>
        </w:rPr>
        <w:t xml:space="preserve">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SUL.T</w:t>
      </w:r>
      <w:r>
        <w:rPr>
          <w:rFonts w:hint="eastAsia" w:ascii="Times New Roman" w:hAnsi="Times New Roman" w:eastAsia="宋体" w:cs="Times New Roman"/>
          <w:i w:val="0"/>
          <w:iCs w:val="0"/>
          <w:sz w:val="20"/>
          <w:szCs w:val="22"/>
          <w:lang w:val="en-US" w:eastAsia="zh-CN"/>
        </w:rPr>
        <w: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w:t>
      </w:r>
    </w:p>
    <w:p>
      <w:pPr>
        <w:bidi w:val="0"/>
        <w:rPr>
          <w:rFonts w:hint="eastAsia" w:ascii="Times New Roman" w:hAnsi="Times New Roman" w:eastAsia="宋体" w:cs="Times New Roman"/>
          <w:bCs/>
          <w:sz w:val="20"/>
          <w:lang w:eastAsia="zh-CN"/>
        </w:rPr>
      </w:pPr>
      <w:r>
        <w:rPr>
          <w:rFonts w:hint="eastAsia" w:eastAsia="宋体" w:cs="Times New Roman"/>
          <w:b/>
          <w:bCs/>
          <w:sz w:val="20"/>
          <w:szCs w:val="22"/>
          <w:highlight w:val="none"/>
          <w:lang w:val="en-US" w:eastAsia="zh-CN"/>
        </w:rPr>
        <w:t xml:space="preserve">Proposal 2. Introduce </w:t>
      </w:r>
      <w:r>
        <w:rPr>
          <w:rFonts w:hint="eastAsia" w:eastAsia="宋体" w:cs="Times New Roman"/>
          <w:b/>
          <w:bCs/>
          <w:i w:val="0"/>
          <w:iCs w:val="0"/>
          <w:sz w:val="20"/>
          <w:szCs w:val="22"/>
          <w:highlight w:val="none"/>
          <w:lang w:val="en-US" w:eastAsia="zh-CN"/>
        </w:rPr>
        <w:t>maximum output power table for both PC3 and PC2 SUL in TS38.101-1.</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[1] </w:t>
      </w:r>
      <w:r>
        <w:rPr>
          <w:rFonts w:hint="eastAsia" w:ascii="Times New Roman" w:hAnsi="Times New Roman" w:eastAsia="宋体" w:cs="Times New Roman"/>
          <w:b w:val="0"/>
          <w:bCs w:val="0"/>
          <w:sz w:val="20"/>
          <w:szCs w:val="20"/>
          <w:vertAlign w:val="baseline"/>
          <w:lang w:val="en-US" w:eastAsia="zh-CN"/>
        </w:rPr>
        <w:t>R4-2010773</w:t>
      </w:r>
      <w:r>
        <w:rPr>
          <w:rFonts w:hint="eastAsia" w:eastAsia="宋体" w:cs="Times New Roman"/>
          <w:b w:val="0"/>
          <w:bCs w:val="0"/>
          <w:sz w:val="20"/>
          <w:szCs w:val="20"/>
          <w:vertAlign w:val="baseline"/>
          <w:lang w:val="en-US" w:eastAsia="zh-CN"/>
        </w:rPr>
        <w:t xml:space="preserve"> </w:t>
      </w:r>
      <w:r>
        <w:rPr>
          <w:rFonts w:hint="eastAsia" w:ascii="Times New Roman" w:hAnsi="Times New Roman" w:eastAsia="宋体" w:cs="Times New Roman"/>
          <w:b w:val="0"/>
          <w:bCs w:val="0"/>
          <w:sz w:val="20"/>
          <w:szCs w:val="20"/>
          <w:vertAlign w:val="baseline"/>
          <w:lang w:val="en-US" w:eastAsia="zh-CN"/>
        </w:rPr>
        <w:t>Discussion on SUL HPUE SAR</w:t>
      </w:r>
      <w:r>
        <w:rPr>
          <w:rFonts w:hint="eastAsia" w:eastAsia="宋体" w:cs="Times New Roman"/>
          <w:b w:val="0"/>
          <w:bCs w:val="0"/>
          <w:sz w:val="20"/>
          <w:szCs w:val="20"/>
          <w:vertAlign w:val="baseline"/>
          <w:lang w:val="en-US" w:eastAsia="zh-CN"/>
        </w:rPr>
        <w:t>, OPPO</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[2] </w:t>
      </w:r>
      <w:r>
        <w:rPr>
          <w:rFonts w:hint="eastAsia" w:ascii="Times New Roman" w:hAnsi="Times New Roman" w:eastAsia="宋体" w:cs="Times New Roman"/>
          <w:b w:val="0"/>
          <w:bCs w:val="0"/>
          <w:sz w:val="20"/>
          <w:szCs w:val="20"/>
          <w:vertAlign w:val="baseline"/>
          <w:lang w:val="en-US" w:eastAsia="zh-CN"/>
        </w:rPr>
        <w:t>R4-200979</w:t>
      </w:r>
      <w:r>
        <w:rPr>
          <w:rFonts w:hint="eastAsia" w:eastAsia="宋体" w:cs="Times New Roman"/>
          <w:b w:val="0"/>
          <w:bCs w:val="0"/>
          <w:sz w:val="20"/>
          <w:szCs w:val="20"/>
          <w:vertAlign w:val="baseline"/>
          <w:lang w:val="en-US" w:eastAsia="zh-CN"/>
        </w:rPr>
        <w:t>7</w:t>
      </w:r>
      <w:r>
        <w:rPr>
          <w:rFonts w:hint="eastAsia" w:ascii="Times New Roman" w:hAnsi="Times New Roman" w:eastAsia="宋体" w:cs="Times New Roman"/>
          <w:b w:val="0"/>
          <w:bCs w:val="0"/>
          <w:sz w:val="20"/>
          <w:szCs w:val="20"/>
          <w:vertAlign w:val="baseline"/>
          <w:lang w:val="en-US" w:eastAsia="zh-CN"/>
        </w:rPr>
        <w:t xml:space="preserve"> </w:t>
      </w:r>
      <w:r>
        <w:rPr>
          <w:rFonts w:hint="eastAsia" w:eastAsia="宋体" w:cs="Times New Roman"/>
          <w:b w:val="0"/>
          <w:bCs w:val="0"/>
          <w:sz w:val="20"/>
          <w:szCs w:val="20"/>
          <w:vertAlign w:val="baseline"/>
          <w:lang w:val="en-US" w:eastAsia="zh-CN"/>
        </w:rPr>
        <w:t xml:space="preserve"> </w:t>
      </w:r>
      <w:r>
        <w:rPr>
          <w:rFonts w:hint="eastAsia" w:ascii="Times New Roman" w:hAnsi="Times New Roman" w:eastAsia="宋体" w:cs="Times New Roman"/>
          <w:b w:val="0"/>
          <w:bCs w:val="0"/>
          <w:sz w:val="20"/>
          <w:szCs w:val="20"/>
          <w:vertAlign w:val="baseline"/>
          <w:lang w:val="en-US" w:eastAsia="zh-CN"/>
        </w:rPr>
        <w:t xml:space="preserve">Discussion on SAR solution for </w:t>
      </w:r>
      <w:r>
        <w:rPr>
          <w:rFonts w:hint="eastAsia" w:eastAsia="宋体" w:cs="Times New Roman"/>
          <w:b w:val="0"/>
          <w:bCs w:val="0"/>
          <w:sz w:val="20"/>
          <w:szCs w:val="20"/>
          <w:vertAlign w:val="baseline"/>
          <w:lang w:val="en-US" w:eastAsia="zh-CN"/>
        </w:rPr>
        <w:t>SUL</w:t>
      </w:r>
      <w:r>
        <w:rPr>
          <w:rFonts w:hint="eastAsia" w:ascii="Times New Roman" w:hAnsi="Times New Roman" w:eastAsia="宋体" w:cs="Times New Roman"/>
          <w:b w:val="0"/>
          <w:bCs w:val="0"/>
          <w:sz w:val="20"/>
          <w:szCs w:val="20"/>
          <w:vertAlign w:val="baseline"/>
          <w:lang w:val="en-US" w:eastAsia="zh-CN"/>
        </w:rPr>
        <w:t xml:space="preserve"> PC2, CATT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[3] </w:t>
      </w:r>
      <w:r>
        <w:rPr>
          <w:rFonts w:eastAsiaTheme="minorEastAsia"/>
          <w:lang w:eastAsia="zh-CN"/>
        </w:rPr>
        <w:t>R4-2010546</w:t>
      </w:r>
      <w:r>
        <w:rPr>
          <w:rFonts w:hint="eastAsia" w:eastAsiaTheme="minorEastAsia"/>
          <w:lang w:val="en-US" w:eastAsia="zh-CN"/>
        </w:rPr>
        <w:t xml:space="preserve"> </w:t>
      </w:r>
      <w:r>
        <w:rPr>
          <w:rFonts w:eastAsiaTheme="minorEastAsia"/>
          <w:lang w:eastAsia="zh-CN"/>
        </w:rPr>
        <w:t>Discussion on the SUL band combination PC2 SAR compliance</w:t>
      </w:r>
      <w:r>
        <w:rPr>
          <w:rFonts w:hint="eastAsia" w:eastAsiaTheme="minorEastAsia"/>
          <w:lang w:val="en-US" w:eastAsia="zh-CN"/>
        </w:rPr>
        <w:t>, Huawei</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[4] R4-2011789  </w:t>
      </w:r>
      <w:r>
        <w:rPr>
          <w:rFonts w:hint="eastAsia" w:ascii="Times New Roman" w:hAnsi="Times New Roman" w:eastAsia="宋体" w:cs="Times New Roman"/>
          <w:b w:val="0"/>
          <w:bCs w:val="0"/>
          <w:sz w:val="20"/>
          <w:szCs w:val="20"/>
          <w:vertAlign w:val="baseline"/>
          <w:lang w:val="en-US" w:eastAsia="zh-CN"/>
        </w:rPr>
        <w:t>WF on UE PC2 for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87A765"/>
    <w:multiLevelType w:val="singleLevel"/>
    <w:tmpl w:val="D787A765"/>
    <w:lvl w:ilvl="0" w:tentative="0">
      <w:start w:val="1"/>
      <w:numFmt w:val="bullet"/>
      <w:lvlText w:val="-"/>
      <w:lvlJc w:val="left"/>
      <w:pPr>
        <w:tabs>
          <w:tab w:val="left" w:pos="420"/>
        </w:tabs>
        <w:ind w:left="840" w:leftChars="0" w:hanging="420" w:firstLineChars="0"/>
      </w:pPr>
      <w:rPr>
        <w:rFonts w:hint="default" w:ascii="微软雅黑" w:hAnsi="微软雅黑" w:eastAsia="微软雅黑" w:cs="微软雅黑"/>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72F02C"/>
    <w:multiLevelType w:val="multilevel"/>
    <w:tmpl w:val="3172F02C"/>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3"/>
  </w:num>
  <w:num w:numId="4">
    <w:abstractNumId w:val="2"/>
  </w:num>
  <w:num w:numId="5">
    <w:abstractNumId w:val="1"/>
  </w:num>
  <w:num w:numId="6">
    <w:abstractNumId w:val="9"/>
  </w:num>
  <w:num w:numId="7">
    <w:abstractNumId w:val="11"/>
  </w:num>
  <w:num w:numId="8">
    <w:abstractNumId w:val="13"/>
  </w:num>
  <w:num w:numId="9">
    <w:abstractNumId w:val="7"/>
  </w:num>
  <w:num w:numId="10">
    <w:abstractNumId w:val="8"/>
  </w:num>
  <w:num w:numId="11">
    <w:abstractNumId w:val="5"/>
  </w:num>
  <w:num w:numId="12">
    <w:abstractNumId w:val="12"/>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6988"/>
    <w:rsid w:val="01ED283C"/>
    <w:rsid w:val="01F61B27"/>
    <w:rsid w:val="01FB375F"/>
    <w:rsid w:val="01FB73D0"/>
    <w:rsid w:val="01FC180E"/>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837DE"/>
    <w:rsid w:val="027C24F6"/>
    <w:rsid w:val="0282350B"/>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762"/>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33C9A"/>
    <w:rsid w:val="04AD5427"/>
    <w:rsid w:val="04B31C9E"/>
    <w:rsid w:val="04B773EC"/>
    <w:rsid w:val="04CE5DAA"/>
    <w:rsid w:val="04D06A94"/>
    <w:rsid w:val="04D822DA"/>
    <w:rsid w:val="04E251E1"/>
    <w:rsid w:val="04E5192B"/>
    <w:rsid w:val="04E55A04"/>
    <w:rsid w:val="04E951BC"/>
    <w:rsid w:val="04F83880"/>
    <w:rsid w:val="04FB32C2"/>
    <w:rsid w:val="0507209B"/>
    <w:rsid w:val="05081BC3"/>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9E20A2"/>
    <w:rsid w:val="05A61B3E"/>
    <w:rsid w:val="05A77370"/>
    <w:rsid w:val="05AA2F85"/>
    <w:rsid w:val="05CE76FB"/>
    <w:rsid w:val="05CF3E3B"/>
    <w:rsid w:val="05D679BE"/>
    <w:rsid w:val="05D93F31"/>
    <w:rsid w:val="05D96B45"/>
    <w:rsid w:val="05DD5E93"/>
    <w:rsid w:val="05DE43E0"/>
    <w:rsid w:val="05DF563A"/>
    <w:rsid w:val="05DF5EF2"/>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1504D"/>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3E77"/>
    <w:rsid w:val="086015DD"/>
    <w:rsid w:val="08670351"/>
    <w:rsid w:val="086D1825"/>
    <w:rsid w:val="08713A8E"/>
    <w:rsid w:val="08760D65"/>
    <w:rsid w:val="087D07B1"/>
    <w:rsid w:val="088B2800"/>
    <w:rsid w:val="088D3DB3"/>
    <w:rsid w:val="089248A3"/>
    <w:rsid w:val="08A14169"/>
    <w:rsid w:val="08A169E9"/>
    <w:rsid w:val="08AB7ED7"/>
    <w:rsid w:val="08AF3AE8"/>
    <w:rsid w:val="08B32027"/>
    <w:rsid w:val="08BB173B"/>
    <w:rsid w:val="08CD72D1"/>
    <w:rsid w:val="08CE2A40"/>
    <w:rsid w:val="08D52400"/>
    <w:rsid w:val="08DC5892"/>
    <w:rsid w:val="08DF6212"/>
    <w:rsid w:val="08E16EEF"/>
    <w:rsid w:val="08ED1042"/>
    <w:rsid w:val="08EE5E63"/>
    <w:rsid w:val="08F80051"/>
    <w:rsid w:val="08FF75F2"/>
    <w:rsid w:val="09014876"/>
    <w:rsid w:val="0906231D"/>
    <w:rsid w:val="090F07A1"/>
    <w:rsid w:val="09105B11"/>
    <w:rsid w:val="09130B62"/>
    <w:rsid w:val="091744D0"/>
    <w:rsid w:val="091A6163"/>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0589"/>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BC35CF"/>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272E55"/>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CF93C26"/>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E041D2C"/>
    <w:rsid w:val="0E084950"/>
    <w:rsid w:val="0E121DB2"/>
    <w:rsid w:val="0E126018"/>
    <w:rsid w:val="0E1271E2"/>
    <w:rsid w:val="0E1B6AEF"/>
    <w:rsid w:val="0E1B7FF1"/>
    <w:rsid w:val="0E1C0D60"/>
    <w:rsid w:val="0E1C6C9C"/>
    <w:rsid w:val="0E1D4EB3"/>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0483"/>
    <w:rsid w:val="0E7C2C51"/>
    <w:rsid w:val="0E845D64"/>
    <w:rsid w:val="0E8E2DF0"/>
    <w:rsid w:val="0E8E5DF5"/>
    <w:rsid w:val="0E8F0596"/>
    <w:rsid w:val="0E987200"/>
    <w:rsid w:val="0E9C25AC"/>
    <w:rsid w:val="0EA03AD3"/>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21398"/>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33686"/>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77D55"/>
    <w:rsid w:val="119F2B47"/>
    <w:rsid w:val="11A67383"/>
    <w:rsid w:val="11B05A60"/>
    <w:rsid w:val="11BC664B"/>
    <w:rsid w:val="11BF56EF"/>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5A77"/>
    <w:rsid w:val="135F52DB"/>
    <w:rsid w:val="13614997"/>
    <w:rsid w:val="136A13B4"/>
    <w:rsid w:val="13735FFB"/>
    <w:rsid w:val="13757BE9"/>
    <w:rsid w:val="137D1899"/>
    <w:rsid w:val="137D5093"/>
    <w:rsid w:val="137E369E"/>
    <w:rsid w:val="137E41AF"/>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66932"/>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D4107"/>
    <w:rsid w:val="149D4997"/>
    <w:rsid w:val="14A04F69"/>
    <w:rsid w:val="14A10588"/>
    <w:rsid w:val="14A11363"/>
    <w:rsid w:val="14A56052"/>
    <w:rsid w:val="14A87888"/>
    <w:rsid w:val="14AA6172"/>
    <w:rsid w:val="14AC283B"/>
    <w:rsid w:val="14B071EA"/>
    <w:rsid w:val="14BD5CC4"/>
    <w:rsid w:val="14C42409"/>
    <w:rsid w:val="14C510C3"/>
    <w:rsid w:val="14CC3E85"/>
    <w:rsid w:val="14E1264D"/>
    <w:rsid w:val="14E270A5"/>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81E1D"/>
    <w:rsid w:val="157B5E01"/>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76A9B"/>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81760"/>
    <w:rsid w:val="18FB7C71"/>
    <w:rsid w:val="1901692F"/>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24407"/>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37C3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977E2"/>
    <w:rsid w:val="1BDC1FDD"/>
    <w:rsid w:val="1BE00A01"/>
    <w:rsid w:val="1BED382A"/>
    <w:rsid w:val="1BED7882"/>
    <w:rsid w:val="1BEF6A59"/>
    <w:rsid w:val="1BF01922"/>
    <w:rsid w:val="1C026BE2"/>
    <w:rsid w:val="1C027BFF"/>
    <w:rsid w:val="1C095057"/>
    <w:rsid w:val="1C0A570F"/>
    <w:rsid w:val="1C10625F"/>
    <w:rsid w:val="1C145A58"/>
    <w:rsid w:val="1C152097"/>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11B17"/>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0CF2"/>
    <w:rsid w:val="1E9B64F2"/>
    <w:rsid w:val="1E9F6590"/>
    <w:rsid w:val="1EAA1FDC"/>
    <w:rsid w:val="1EB8778F"/>
    <w:rsid w:val="1EBA0A60"/>
    <w:rsid w:val="1EBD2B34"/>
    <w:rsid w:val="1EBE7B91"/>
    <w:rsid w:val="1EBF2648"/>
    <w:rsid w:val="1EC2215B"/>
    <w:rsid w:val="1EC82949"/>
    <w:rsid w:val="1ECA37EC"/>
    <w:rsid w:val="1ED409C9"/>
    <w:rsid w:val="1ED51FDC"/>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29AD"/>
    <w:rsid w:val="214F78F2"/>
    <w:rsid w:val="21541887"/>
    <w:rsid w:val="215D104C"/>
    <w:rsid w:val="21630F95"/>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328D2"/>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82BF8"/>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53170"/>
    <w:rsid w:val="26B64A1A"/>
    <w:rsid w:val="26B83820"/>
    <w:rsid w:val="26B9133F"/>
    <w:rsid w:val="26BB0038"/>
    <w:rsid w:val="26BD1AF0"/>
    <w:rsid w:val="26BF7F09"/>
    <w:rsid w:val="26C119A3"/>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07418"/>
    <w:rsid w:val="27514698"/>
    <w:rsid w:val="275215DA"/>
    <w:rsid w:val="275B33AF"/>
    <w:rsid w:val="275D229C"/>
    <w:rsid w:val="276061D1"/>
    <w:rsid w:val="27662EEA"/>
    <w:rsid w:val="277342FE"/>
    <w:rsid w:val="2773577D"/>
    <w:rsid w:val="27777E23"/>
    <w:rsid w:val="277B02C6"/>
    <w:rsid w:val="27821D9C"/>
    <w:rsid w:val="27860B41"/>
    <w:rsid w:val="278831D9"/>
    <w:rsid w:val="278E0A47"/>
    <w:rsid w:val="279121D8"/>
    <w:rsid w:val="2794232D"/>
    <w:rsid w:val="27A60643"/>
    <w:rsid w:val="27A9577A"/>
    <w:rsid w:val="27B40B8B"/>
    <w:rsid w:val="27BB7D18"/>
    <w:rsid w:val="27BF2614"/>
    <w:rsid w:val="27D812A3"/>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347CC"/>
    <w:rsid w:val="28EA0885"/>
    <w:rsid w:val="28F60D2F"/>
    <w:rsid w:val="28FF39FD"/>
    <w:rsid w:val="2905249B"/>
    <w:rsid w:val="29064E8D"/>
    <w:rsid w:val="290806C5"/>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AAE"/>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20AFD"/>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DD4483"/>
    <w:rsid w:val="2DE3126E"/>
    <w:rsid w:val="2DE96ECA"/>
    <w:rsid w:val="2DEC361D"/>
    <w:rsid w:val="2DF40350"/>
    <w:rsid w:val="2DFD25D1"/>
    <w:rsid w:val="2DFD42E1"/>
    <w:rsid w:val="2DFE3435"/>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01EEF"/>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3F561E"/>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81BAE"/>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27CE"/>
    <w:rsid w:val="37513D01"/>
    <w:rsid w:val="37535CB6"/>
    <w:rsid w:val="375C30D2"/>
    <w:rsid w:val="375D3D44"/>
    <w:rsid w:val="376C5889"/>
    <w:rsid w:val="376D30B7"/>
    <w:rsid w:val="376F3C3D"/>
    <w:rsid w:val="37777509"/>
    <w:rsid w:val="37782D0E"/>
    <w:rsid w:val="377A2230"/>
    <w:rsid w:val="377D5303"/>
    <w:rsid w:val="37825324"/>
    <w:rsid w:val="378B0327"/>
    <w:rsid w:val="378E0749"/>
    <w:rsid w:val="37961346"/>
    <w:rsid w:val="379824C0"/>
    <w:rsid w:val="379B4AF2"/>
    <w:rsid w:val="379C1DA9"/>
    <w:rsid w:val="37A5676A"/>
    <w:rsid w:val="37A6689F"/>
    <w:rsid w:val="37A7162E"/>
    <w:rsid w:val="37A9641A"/>
    <w:rsid w:val="37AC7283"/>
    <w:rsid w:val="37AD2485"/>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60C99"/>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47E77"/>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58DC"/>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272DD"/>
    <w:rsid w:val="4097144A"/>
    <w:rsid w:val="40A27041"/>
    <w:rsid w:val="40A84378"/>
    <w:rsid w:val="40AB4BB4"/>
    <w:rsid w:val="40AF4A4F"/>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313A0"/>
    <w:rsid w:val="41B514A9"/>
    <w:rsid w:val="41B61AB1"/>
    <w:rsid w:val="41C12AA3"/>
    <w:rsid w:val="41C46E77"/>
    <w:rsid w:val="41D8108E"/>
    <w:rsid w:val="41D87523"/>
    <w:rsid w:val="41D91076"/>
    <w:rsid w:val="41DF2F70"/>
    <w:rsid w:val="41E224AE"/>
    <w:rsid w:val="41E756B0"/>
    <w:rsid w:val="41E971DB"/>
    <w:rsid w:val="41ED1734"/>
    <w:rsid w:val="41F4693E"/>
    <w:rsid w:val="41F51147"/>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53DF0"/>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B16182"/>
    <w:rsid w:val="43B16C55"/>
    <w:rsid w:val="43B23333"/>
    <w:rsid w:val="43B8214D"/>
    <w:rsid w:val="43BB11FD"/>
    <w:rsid w:val="43BD2FE6"/>
    <w:rsid w:val="43C0251E"/>
    <w:rsid w:val="43C157EF"/>
    <w:rsid w:val="43D73936"/>
    <w:rsid w:val="43DF4BED"/>
    <w:rsid w:val="43E722A3"/>
    <w:rsid w:val="43EE0AA9"/>
    <w:rsid w:val="43EE134B"/>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A5D0E"/>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158F6"/>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B1CB1"/>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361B1"/>
    <w:rsid w:val="4A246681"/>
    <w:rsid w:val="4A2E3165"/>
    <w:rsid w:val="4A33337A"/>
    <w:rsid w:val="4A375652"/>
    <w:rsid w:val="4A492F58"/>
    <w:rsid w:val="4A504178"/>
    <w:rsid w:val="4A5F3240"/>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72601"/>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6F1E74"/>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2301C"/>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50278"/>
    <w:rsid w:val="5438255E"/>
    <w:rsid w:val="543A25D7"/>
    <w:rsid w:val="543A7B51"/>
    <w:rsid w:val="543F263C"/>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9D08EA"/>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0D536E"/>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4CAC"/>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810F21"/>
    <w:rsid w:val="5A8201E3"/>
    <w:rsid w:val="5A943561"/>
    <w:rsid w:val="5A947EF0"/>
    <w:rsid w:val="5A9545E6"/>
    <w:rsid w:val="5A96253C"/>
    <w:rsid w:val="5A9A1811"/>
    <w:rsid w:val="5AA45DD1"/>
    <w:rsid w:val="5AA86E5A"/>
    <w:rsid w:val="5AAA67C9"/>
    <w:rsid w:val="5AAE12B9"/>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D6360"/>
    <w:rsid w:val="5B650C24"/>
    <w:rsid w:val="5B6C1370"/>
    <w:rsid w:val="5B700C48"/>
    <w:rsid w:val="5B762836"/>
    <w:rsid w:val="5B861DFE"/>
    <w:rsid w:val="5B8B4481"/>
    <w:rsid w:val="5B8F3139"/>
    <w:rsid w:val="5B8F6725"/>
    <w:rsid w:val="5B961544"/>
    <w:rsid w:val="5B9C0BB9"/>
    <w:rsid w:val="5B9D2958"/>
    <w:rsid w:val="5B9D3507"/>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910A1"/>
    <w:rsid w:val="5C8E4CB9"/>
    <w:rsid w:val="5C915347"/>
    <w:rsid w:val="5CB70F5B"/>
    <w:rsid w:val="5CBE6A7F"/>
    <w:rsid w:val="5CC03AD8"/>
    <w:rsid w:val="5CC13B5F"/>
    <w:rsid w:val="5CC350B6"/>
    <w:rsid w:val="5CC40640"/>
    <w:rsid w:val="5CC5501F"/>
    <w:rsid w:val="5CCD5AF3"/>
    <w:rsid w:val="5CD87406"/>
    <w:rsid w:val="5CDB61B3"/>
    <w:rsid w:val="5CE12FA2"/>
    <w:rsid w:val="5CE37A0C"/>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A4E6A"/>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75B90"/>
    <w:rsid w:val="5E490299"/>
    <w:rsid w:val="5E4B6995"/>
    <w:rsid w:val="5E4F7336"/>
    <w:rsid w:val="5E531698"/>
    <w:rsid w:val="5E5A7F25"/>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462F1"/>
    <w:rsid w:val="5F28125E"/>
    <w:rsid w:val="5F2C6056"/>
    <w:rsid w:val="5F314B60"/>
    <w:rsid w:val="5F3244CE"/>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75955"/>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61DE0"/>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3839"/>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5B317C"/>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B43CF"/>
    <w:rsid w:val="656E5FF8"/>
    <w:rsid w:val="65755AA9"/>
    <w:rsid w:val="657701D4"/>
    <w:rsid w:val="657763D1"/>
    <w:rsid w:val="6577679C"/>
    <w:rsid w:val="65807AD8"/>
    <w:rsid w:val="65822FE0"/>
    <w:rsid w:val="6588037F"/>
    <w:rsid w:val="65886C99"/>
    <w:rsid w:val="658B3278"/>
    <w:rsid w:val="659B3091"/>
    <w:rsid w:val="65A16EE2"/>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6B7E5F"/>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267049"/>
    <w:rsid w:val="67333E25"/>
    <w:rsid w:val="6737473D"/>
    <w:rsid w:val="673F566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6353D"/>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828D1"/>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160D1"/>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5568F"/>
    <w:rsid w:val="69E90668"/>
    <w:rsid w:val="69ED5274"/>
    <w:rsid w:val="69F47F8E"/>
    <w:rsid w:val="69F55347"/>
    <w:rsid w:val="69F56D77"/>
    <w:rsid w:val="69FB1DED"/>
    <w:rsid w:val="69FD3E80"/>
    <w:rsid w:val="6A003B69"/>
    <w:rsid w:val="6A041C66"/>
    <w:rsid w:val="6A085ABB"/>
    <w:rsid w:val="6A0928E3"/>
    <w:rsid w:val="6A092A0D"/>
    <w:rsid w:val="6A0F6BFF"/>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12136"/>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67C65"/>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607E8"/>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6401D"/>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09A8"/>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B445B"/>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9461E"/>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A7817"/>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8469E"/>
    <w:rsid w:val="75591A9F"/>
    <w:rsid w:val="75626BBB"/>
    <w:rsid w:val="75631871"/>
    <w:rsid w:val="75646B2F"/>
    <w:rsid w:val="756A1FFD"/>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04CE"/>
    <w:rsid w:val="76105091"/>
    <w:rsid w:val="76137111"/>
    <w:rsid w:val="76160B37"/>
    <w:rsid w:val="76240809"/>
    <w:rsid w:val="76284A99"/>
    <w:rsid w:val="762B0A64"/>
    <w:rsid w:val="762F06D8"/>
    <w:rsid w:val="76330CEC"/>
    <w:rsid w:val="76347E97"/>
    <w:rsid w:val="763E49DF"/>
    <w:rsid w:val="763F2481"/>
    <w:rsid w:val="765510D9"/>
    <w:rsid w:val="76634ABB"/>
    <w:rsid w:val="76685A5F"/>
    <w:rsid w:val="766E149C"/>
    <w:rsid w:val="76704A90"/>
    <w:rsid w:val="76710F59"/>
    <w:rsid w:val="76731704"/>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67F26"/>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C2184"/>
    <w:rsid w:val="7B2D37CA"/>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75DBF"/>
    <w:rsid w:val="7CBB448F"/>
    <w:rsid w:val="7CC457FD"/>
    <w:rsid w:val="7CC47E43"/>
    <w:rsid w:val="7CC73521"/>
    <w:rsid w:val="7CCC1769"/>
    <w:rsid w:val="7CCC59AF"/>
    <w:rsid w:val="7CCE2A27"/>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C0090"/>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0226D"/>
    <w:rsid w:val="7E13004E"/>
    <w:rsid w:val="7E1465B3"/>
    <w:rsid w:val="7E165384"/>
    <w:rsid w:val="7E1B6E9F"/>
    <w:rsid w:val="7E1C7387"/>
    <w:rsid w:val="7E1D54AF"/>
    <w:rsid w:val="7E2D53BF"/>
    <w:rsid w:val="7E2F4A5F"/>
    <w:rsid w:val="7E327A15"/>
    <w:rsid w:val="7E3D2B8F"/>
    <w:rsid w:val="7E403F72"/>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6</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2020-10-23T10:05:47Z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